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D52A" w14:textId="69FEC0C9" w:rsidR="00EF0F57" w:rsidRPr="00C80C13" w:rsidRDefault="00000000">
      <w:pPr>
        <w:spacing w:after="200"/>
        <w:jc w:val="center"/>
        <w:rPr>
          <w:rFonts w:ascii="Times New Roman" w:hAnsi="Times New Roman" w:cs="Times New Roman"/>
        </w:rPr>
      </w:pPr>
      <w:r w:rsidRPr="00C80C13">
        <w:rPr>
          <w:rFonts w:ascii="Times New Roman" w:hAnsi="Times New Roman" w:cs="Times New Roman"/>
          <w:b/>
          <w:bCs/>
          <w:sz w:val="26"/>
          <w:szCs w:val="26"/>
        </w:rPr>
        <w:t xml:space="preserve">MIRROR THERAPY </w:t>
      </w:r>
      <w:r w:rsidR="00C80C13">
        <w:rPr>
          <w:rFonts w:ascii="Times New Roman" w:hAnsi="Times New Roman" w:cs="Times New Roman"/>
          <w:b/>
          <w:bCs/>
          <w:sz w:val="26"/>
          <w:szCs w:val="26"/>
        </w:rPr>
        <w:t>FOR</w:t>
      </w:r>
      <w:r w:rsidRPr="00C80C13">
        <w:rPr>
          <w:rFonts w:ascii="Times New Roman" w:hAnsi="Times New Roman" w:cs="Times New Roman"/>
          <w:b/>
          <w:bCs/>
          <w:sz w:val="26"/>
          <w:szCs w:val="26"/>
        </w:rPr>
        <w:t xml:space="preserve"> POST </w:t>
      </w:r>
      <w:r w:rsidR="00C80C13">
        <w:rPr>
          <w:rFonts w:ascii="Times New Roman" w:hAnsi="Times New Roman" w:cs="Times New Roman"/>
          <w:b/>
          <w:bCs/>
          <w:sz w:val="26"/>
          <w:szCs w:val="26"/>
        </w:rPr>
        <w:t xml:space="preserve">STROKE ELDERLY </w:t>
      </w:r>
      <w:r w:rsidRPr="00C80C13">
        <w:rPr>
          <w:rFonts w:ascii="Times New Roman" w:hAnsi="Times New Roman" w:cs="Times New Roman"/>
          <w:b/>
          <w:bCs/>
          <w:sz w:val="26"/>
          <w:szCs w:val="26"/>
        </w:rPr>
        <w:t>WITH PHYSICAL MOBILITY IMPAIRMENT AT UPTD PUSKESMAS RAMBUNG BINJAI CITY</w:t>
      </w:r>
    </w:p>
    <w:p w14:paraId="713057B7" w14:textId="3C7F14B7" w:rsidR="00EF0F57" w:rsidRPr="00C80C13" w:rsidRDefault="00000000">
      <w:pPr>
        <w:spacing w:after="80"/>
        <w:jc w:val="center"/>
        <w:rPr>
          <w:rFonts w:ascii="Times New Roman" w:hAnsi="Times New Roman" w:cs="Times New Roman"/>
        </w:rPr>
      </w:pPr>
      <w:r w:rsidRPr="00C80C13">
        <w:rPr>
          <w:rFonts w:ascii="Times New Roman" w:hAnsi="Times New Roman" w:cs="Times New Roman"/>
          <w:b/>
          <w:bCs/>
        </w:rPr>
        <w:t>Wirda Faswita, S.Kep., Ns., M.Kep.¹, Lorena Adivia²</w:t>
      </w:r>
    </w:p>
    <w:p w14:paraId="66A1EECE" w14:textId="77777777" w:rsidR="00EF0F57" w:rsidRPr="00C80C13" w:rsidRDefault="00000000">
      <w:pPr>
        <w:spacing w:after="80"/>
        <w:jc w:val="center"/>
        <w:rPr>
          <w:rFonts w:ascii="Times New Roman" w:hAnsi="Times New Roman" w:cs="Times New Roman"/>
        </w:rPr>
      </w:pPr>
      <w:r w:rsidRPr="00C80C13">
        <w:rPr>
          <w:rFonts w:ascii="Times New Roman" w:hAnsi="Times New Roman" w:cs="Times New Roman"/>
          <w:i/>
          <w:iCs/>
          <w:sz w:val="20"/>
          <w:szCs w:val="20"/>
        </w:rPr>
        <w:t>1,2Akademi Keperawatan Kesdam I/BB Binjai</w:t>
      </w:r>
    </w:p>
    <w:p w14:paraId="6D534141" w14:textId="77777777" w:rsidR="00EF0F57" w:rsidRPr="00C80C13" w:rsidRDefault="00000000">
      <w:pPr>
        <w:spacing w:after="240"/>
        <w:jc w:val="center"/>
        <w:rPr>
          <w:rFonts w:ascii="Times New Roman" w:hAnsi="Times New Roman" w:cs="Times New Roman"/>
        </w:rPr>
      </w:pPr>
      <w:r w:rsidRPr="00C80C13">
        <w:rPr>
          <w:rFonts w:ascii="Times New Roman" w:hAnsi="Times New Roman" w:cs="Times New Roman"/>
          <w:sz w:val="20"/>
          <w:szCs w:val="20"/>
        </w:rPr>
        <w:t>lorensurbakti@gmail.com</w:t>
      </w:r>
    </w:p>
    <w:p w14:paraId="2DFB5473" w14:textId="77777777" w:rsidR="00EF0F57" w:rsidRPr="00C80C13" w:rsidRDefault="00000000" w:rsidP="00C80C13">
      <w:pPr>
        <w:spacing w:before="240" w:after="160"/>
        <w:jc w:val="center"/>
        <w:rPr>
          <w:rFonts w:ascii="Times New Roman" w:hAnsi="Times New Roman" w:cs="Times New Roman"/>
        </w:rPr>
      </w:pPr>
      <w:r w:rsidRPr="00C80C13">
        <w:rPr>
          <w:rFonts w:ascii="Times New Roman" w:hAnsi="Times New Roman" w:cs="Times New Roman"/>
          <w:b/>
          <w:bCs/>
          <w:sz w:val="24"/>
          <w:szCs w:val="24"/>
        </w:rPr>
        <w:t>ABSTRACT</w:t>
      </w:r>
    </w:p>
    <w:p w14:paraId="1DE38098" w14:textId="4D6BB732" w:rsidR="00EF0F57" w:rsidRDefault="00C80C13" w:rsidP="00815914">
      <w:pPr>
        <w:jc w:val="both"/>
        <w:rPr>
          <w:rFonts w:ascii="Times New Roman" w:hAnsi="Times New Roman" w:cs="Times New Roman"/>
          <w:sz w:val="24"/>
          <w:szCs w:val="24"/>
        </w:rPr>
      </w:pPr>
      <w:r w:rsidRPr="00C80C13">
        <w:rPr>
          <w:rFonts w:ascii="Times New Roman" w:hAnsi="Times New Roman" w:cs="Times New Roman"/>
          <w:b/>
          <w:bCs/>
          <w:sz w:val="24"/>
          <w:szCs w:val="24"/>
        </w:rPr>
        <w:t>Background:</w:t>
      </w:r>
      <w:r w:rsidRPr="00C80C13">
        <w:rPr>
          <w:sz w:val="24"/>
          <w:szCs w:val="24"/>
        </w:rPr>
        <w:t xml:space="preserve"> </w:t>
      </w:r>
      <w:r w:rsidRPr="00C80C13">
        <w:rPr>
          <w:rFonts w:ascii="Times New Roman" w:hAnsi="Times New Roman" w:cs="Times New Roman"/>
          <w:sz w:val="24"/>
          <w:szCs w:val="24"/>
        </w:rPr>
        <w:t xml:space="preserve">Non-hemorrhagic stroke often leads to physical mobility impairment in elderly patients, limiting their daily activities. Mirror Therapy is a non-pharmacological rehabilitation intervention that uses visual mirror feedback to stimulate motor function recovery. </w:t>
      </w:r>
      <w:r w:rsidRPr="00C80C13">
        <w:rPr>
          <w:rFonts w:ascii="Times New Roman" w:hAnsi="Times New Roman" w:cs="Times New Roman"/>
          <w:b/>
          <w:bCs/>
          <w:sz w:val="24"/>
          <w:szCs w:val="24"/>
        </w:rPr>
        <w:t>Objectives:</w:t>
      </w:r>
      <w:r w:rsidRPr="00C80C13">
        <w:rPr>
          <w:rFonts w:ascii="Times New Roman" w:hAnsi="Times New Roman" w:cs="Times New Roman"/>
          <w:sz w:val="24"/>
          <w:szCs w:val="24"/>
        </w:rPr>
        <w:t xml:space="preserve"> The purpose of this case study is to describe the application of Mirror Therapy in elderly patients with post non-hemorrhagic stroke experiencing the nursing problem of impaired physical mobility at UPTD Puskesmas Rambung, Binjai City, in 2026. </w:t>
      </w:r>
      <w:r w:rsidRPr="00C80C13">
        <w:rPr>
          <w:rFonts w:ascii="Times New Roman" w:hAnsi="Times New Roman" w:cs="Times New Roman"/>
          <w:b/>
          <w:bCs/>
          <w:sz w:val="24"/>
          <w:szCs w:val="24"/>
        </w:rPr>
        <w:t>Methods:</w:t>
      </w:r>
      <w:r w:rsidRPr="00C80C13">
        <w:rPr>
          <w:rFonts w:ascii="Times New Roman" w:hAnsi="Times New Roman" w:cs="Times New Roman"/>
          <w:sz w:val="24"/>
          <w:szCs w:val="24"/>
        </w:rPr>
        <w:t xml:space="preserve"> This descriptive case study design involved 3 elderly respondents (Mr. J, Mrs. R, and Mrs. E) diagnosed with non-hemorrhagic stroke. Data were collected through interviews, physical examinations, and documentation studies. Nursing care was provided over 3 days, covering assessment, diagnosis, intervention, implementation, and evaluation. </w:t>
      </w:r>
      <w:r w:rsidRPr="00C80C13">
        <w:rPr>
          <w:rFonts w:ascii="Times New Roman" w:hAnsi="Times New Roman" w:cs="Times New Roman"/>
          <w:b/>
          <w:bCs/>
          <w:sz w:val="24"/>
          <w:szCs w:val="24"/>
        </w:rPr>
        <w:t xml:space="preserve">Results: </w:t>
      </w:r>
      <w:r w:rsidRPr="00C80C13">
        <w:rPr>
          <w:rFonts w:ascii="Times New Roman" w:hAnsi="Times New Roman" w:cs="Times New Roman"/>
          <w:sz w:val="24"/>
          <w:szCs w:val="24"/>
        </w:rPr>
        <w:t xml:space="preserve">The results showed that all three respondents experienced impaired physical mobility with hemiparesis, decreased muscle strength, and limited range of motion (ROM). After 3 days of Mirror Therapy, all three clients showed gradual improvement in muscle strength, range of motion, and daily activity ability, although the problem had not been fully resolved. </w:t>
      </w:r>
      <w:r w:rsidRPr="00C80C13">
        <w:rPr>
          <w:rFonts w:ascii="Times New Roman" w:hAnsi="Times New Roman" w:cs="Times New Roman"/>
          <w:b/>
          <w:bCs/>
          <w:sz w:val="24"/>
          <w:szCs w:val="24"/>
        </w:rPr>
        <w:t>Conclusions:</w:t>
      </w:r>
      <w:r w:rsidRPr="00C80C13">
        <w:rPr>
          <w:rFonts w:ascii="Times New Roman" w:hAnsi="Times New Roman" w:cs="Times New Roman"/>
          <w:sz w:val="24"/>
          <w:szCs w:val="24"/>
        </w:rPr>
        <w:t xml:space="preserve"> It was concluded that Mirror Therapy is effective as a non-pharmacological nursing intervention to improve physical mobility in elderly post non-hemorrhagic stroke patients and should be continued with family support.</w:t>
      </w:r>
    </w:p>
    <w:p w14:paraId="05518349" w14:textId="77777777" w:rsidR="00815914" w:rsidRPr="00C80C13" w:rsidRDefault="00815914" w:rsidP="00815914">
      <w:pPr>
        <w:jc w:val="both"/>
        <w:rPr>
          <w:rFonts w:ascii="Times New Roman" w:hAnsi="Times New Roman" w:cs="Times New Roman"/>
          <w:sz w:val="24"/>
          <w:szCs w:val="24"/>
        </w:rPr>
      </w:pPr>
    </w:p>
    <w:p w14:paraId="3BC8FF44" w14:textId="42C2FC80" w:rsidR="00EF0F57" w:rsidRDefault="00000000">
      <w:pPr>
        <w:spacing w:after="240" w:line="276" w:lineRule="auto"/>
        <w:rPr>
          <w:rFonts w:ascii="Times New Roman" w:hAnsi="Times New Roman" w:cs="Times New Roman"/>
          <w:b/>
          <w:bCs/>
          <w:sz w:val="24"/>
          <w:szCs w:val="24"/>
        </w:rPr>
      </w:pPr>
      <w:r w:rsidRPr="00C80C13">
        <w:rPr>
          <w:rFonts w:ascii="Times New Roman" w:hAnsi="Times New Roman" w:cs="Times New Roman"/>
          <w:b/>
          <w:bCs/>
          <w:sz w:val="24"/>
          <w:szCs w:val="24"/>
        </w:rPr>
        <w:t xml:space="preserve">Keywords: </w:t>
      </w:r>
      <w:r w:rsidRPr="008D346F">
        <w:rPr>
          <w:rFonts w:ascii="Times New Roman" w:hAnsi="Times New Roman" w:cs="Times New Roman"/>
          <w:b/>
          <w:bCs/>
          <w:sz w:val="24"/>
          <w:szCs w:val="24"/>
        </w:rPr>
        <w:t>Mirror Therapy</w:t>
      </w:r>
      <w:r w:rsidR="008D346F" w:rsidRPr="008D346F">
        <w:rPr>
          <w:rFonts w:ascii="Times New Roman" w:hAnsi="Times New Roman" w:cs="Times New Roman"/>
          <w:b/>
          <w:bCs/>
          <w:sz w:val="24"/>
          <w:szCs w:val="24"/>
        </w:rPr>
        <w:t>, Non-Hemorrhagic Stroke, Impaired Physical Mobility,Elderly</w:t>
      </w:r>
    </w:p>
    <w:p w14:paraId="1AB477E9" w14:textId="77777777" w:rsidR="008D346F" w:rsidRPr="00C80C13" w:rsidRDefault="008D346F">
      <w:pPr>
        <w:spacing w:after="240" w:line="276" w:lineRule="auto"/>
        <w:rPr>
          <w:rFonts w:ascii="Times New Roman" w:hAnsi="Times New Roman" w:cs="Times New Roman"/>
          <w:sz w:val="24"/>
          <w:szCs w:val="24"/>
        </w:rPr>
      </w:pPr>
    </w:p>
    <w:p w14:paraId="28F5A873" w14:textId="7B36C065" w:rsidR="00EF0F57" w:rsidRPr="00C80C13" w:rsidRDefault="00C80C13">
      <w:pPr>
        <w:spacing w:before="240" w:after="160"/>
        <w:rPr>
          <w:rFonts w:ascii="Times New Roman" w:hAnsi="Times New Roman" w:cs="Times New Roman"/>
        </w:rPr>
      </w:pPr>
      <w:r w:rsidRPr="00C80C13">
        <w:rPr>
          <w:rFonts w:ascii="Times New Roman" w:hAnsi="Times New Roman" w:cs="Times New Roman"/>
          <w:b/>
          <w:bCs/>
          <w:sz w:val="24"/>
          <w:szCs w:val="24"/>
        </w:rPr>
        <w:t>INTRODUCTION</w:t>
      </w:r>
    </w:p>
    <w:p w14:paraId="734C07F6" w14:textId="77777777" w:rsidR="00EF0F57" w:rsidRPr="00C80C13" w:rsidRDefault="00000000" w:rsidP="00815914">
      <w:pPr>
        <w:jc w:val="both"/>
        <w:rPr>
          <w:rFonts w:ascii="Times New Roman" w:hAnsi="Times New Roman" w:cs="Times New Roman"/>
          <w:sz w:val="24"/>
          <w:szCs w:val="24"/>
        </w:rPr>
      </w:pPr>
      <w:r w:rsidRPr="00C80C13">
        <w:rPr>
          <w:rFonts w:ascii="Times New Roman" w:hAnsi="Times New Roman" w:cs="Times New Roman"/>
          <w:sz w:val="24"/>
          <w:szCs w:val="24"/>
        </w:rPr>
        <w:t xml:space="preserve">Non-Hemorrhagic Stroke, or Ischemic Stroke, is a condition in which blood flow to the brain is interrupted due to a blockage in the blood vessels. The blockage can be caused by blood clots (thrombus) or cholesterol plaques, which result in brain cells lacking oxygen and nutrients, leading to damage or death (Andika et al., 2023). WHO states that 85% of all stroke cases worldwide are Non-Hemorrhagic Strokes, amounting to approximately 20.5 million people. In developing regions such as Asia, ischemic stroke accounts for 70% of all stroke cases (Hisni, 2022). In Indonesia, the prevalence of stroke based on physician diagnosis among the population aged ≥15 years reaches 8.8 per mille according to the 2023 Indonesian Health Survey (SKI), with the highest prevalence among those aged ≥75 years (41.3‰) and 65–74 years (35.4‰). The prevalence in North Sumatra reaches 6.6%, making it one of the 20 regions with the highest stroke prevalence. At UPTD Puskesmas Rambung, Binjai City, there were 15 elderly patients with Non-Hemorrhagic Stroke in 2026 (UPTD Puskesmas Rambung, 2026). Post-stroke patients need therapy to improve </w:t>
      </w:r>
      <w:r w:rsidRPr="00C80C13">
        <w:rPr>
          <w:rFonts w:ascii="Times New Roman" w:hAnsi="Times New Roman" w:cs="Times New Roman"/>
          <w:sz w:val="24"/>
          <w:szCs w:val="24"/>
        </w:rPr>
        <w:lastRenderedPageBreak/>
        <w:t>quality of life and reduce dependency. One non-pharmacological therapy that can be applied is Mirror Therapy, a rehabilitation method that uses visual feedback through a mirror to stimulate the recovery of motor function in weakened limbs (Fadlilah, 2024). Based on this background, the author conducted a case study on the application of Mirror Therapy in elderly patients with Non-Hemorrhagic Stroke experiencing the nursing problem of impaired physical mobility at UPTD Puskesmas Rambung, Binjai City, in 2026.</w:t>
      </w:r>
    </w:p>
    <w:p w14:paraId="46DA4D72" w14:textId="006A761B" w:rsidR="00EF0F57" w:rsidRPr="00C80C13" w:rsidRDefault="00C80C13">
      <w:pPr>
        <w:spacing w:before="240" w:after="160"/>
        <w:rPr>
          <w:rFonts w:ascii="Times New Roman" w:hAnsi="Times New Roman" w:cs="Times New Roman"/>
        </w:rPr>
      </w:pPr>
      <w:r>
        <w:rPr>
          <w:rFonts w:ascii="Times New Roman" w:hAnsi="Times New Roman" w:cs="Times New Roman"/>
          <w:b/>
          <w:bCs/>
          <w:sz w:val="24"/>
          <w:szCs w:val="24"/>
        </w:rPr>
        <w:t>METHODS</w:t>
      </w:r>
    </w:p>
    <w:p w14:paraId="3FD9E99A" w14:textId="77777777" w:rsidR="00EF0F57" w:rsidRPr="00C80C13" w:rsidRDefault="00000000" w:rsidP="00815914">
      <w:pPr>
        <w:jc w:val="both"/>
        <w:rPr>
          <w:rFonts w:ascii="Times New Roman" w:hAnsi="Times New Roman" w:cs="Times New Roman"/>
          <w:sz w:val="24"/>
          <w:szCs w:val="24"/>
        </w:rPr>
      </w:pPr>
      <w:r w:rsidRPr="00C80C13">
        <w:rPr>
          <w:rFonts w:ascii="Times New Roman" w:hAnsi="Times New Roman" w:cs="Times New Roman"/>
          <w:sz w:val="24"/>
          <w:szCs w:val="24"/>
        </w:rPr>
        <w:t>The design used in this case study is descriptive, with a nursing care approach covering assessment, diagnosis, intervention, implementation, and evaluation. The study was conducted at UPTD Puskesmas Rambung, Binjai City, from November 2025 to March 2026. The subjects of the case study were 3 elderly individuals aged ≥60 years diagnosed with Non-Hemorrhagic Stroke with the nursing problem of impaired physical mobility. The population consisted of 15 people, and sampling was carried out using purposive sampling. Data were collected through: (1) Interviews to obtain subjective data; (2) Head-to-toe observation and physical examination using inspection, palpation, percussion, and auscultation techniques; (3) Documentation study of patients’ medical records. Muscle strength was measured using the Manual Muscle Testing (MMT) scale, and range of motion (ROM) was measured using a goniometer. Mirror Therapy was implemented for 3 consecutive days, each session lasting approximately 30–45 minutes, following the Bonner Protocol, which consists of adaptation exercises, basic movements, movement variations, and shaping (combination of movements).</w:t>
      </w:r>
    </w:p>
    <w:p w14:paraId="25E394F6" w14:textId="4D245CCE" w:rsidR="00EF0F57" w:rsidRPr="00C80C13" w:rsidRDefault="00C80C13">
      <w:pPr>
        <w:spacing w:before="240" w:after="160"/>
        <w:rPr>
          <w:rFonts w:ascii="Times New Roman" w:hAnsi="Times New Roman" w:cs="Times New Roman"/>
        </w:rPr>
      </w:pPr>
      <w:r w:rsidRPr="00C80C13">
        <w:rPr>
          <w:rFonts w:ascii="Times New Roman" w:hAnsi="Times New Roman" w:cs="Times New Roman"/>
          <w:b/>
          <w:bCs/>
          <w:sz w:val="24"/>
          <w:szCs w:val="24"/>
        </w:rPr>
        <w:t>RESULTS</w:t>
      </w:r>
      <w:r>
        <w:rPr>
          <w:rFonts w:ascii="Times New Roman" w:hAnsi="Times New Roman" w:cs="Times New Roman"/>
          <w:b/>
          <w:bCs/>
          <w:sz w:val="24"/>
          <w:szCs w:val="24"/>
        </w:rPr>
        <w:t xml:space="preserve"> AND DISCUSIONS</w:t>
      </w:r>
    </w:p>
    <w:p w14:paraId="26D656F1" w14:textId="77777777" w:rsidR="00EF0F57" w:rsidRDefault="00000000" w:rsidP="00815914">
      <w:pPr>
        <w:jc w:val="both"/>
        <w:rPr>
          <w:rFonts w:ascii="Times New Roman" w:hAnsi="Times New Roman" w:cs="Times New Roman"/>
          <w:sz w:val="24"/>
          <w:szCs w:val="24"/>
        </w:rPr>
      </w:pPr>
      <w:r w:rsidRPr="00C80C13">
        <w:rPr>
          <w:rFonts w:ascii="Times New Roman" w:hAnsi="Times New Roman" w:cs="Times New Roman"/>
          <w:sz w:val="24"/>
          <w:szCs w:val="24"/>
        </w:rPr>
        <w:t>The study was conducted at UPTD Puskesmas Rambung, Binjai City, which covers 4 sub-districts (kelurahan) in Binjai Selatan District, with an area of approximately 10–11 km² and serving around 16,000 people. The health center has 27 medical personnel. Three respondents were involved: (1) Mr. J, male, 72 years old, weakness in the right extremities, blood pressure 180/90 mmHg, upper muscle strength 3 / lower 1, elbow flexion ROM 100°, wrist flexion 80°; (2) Mrs. R, female, 68 years old, difficulty with independent activities, blood pressure 170/90 mmHg, lower muscle strength 2 / upper 5, toe flexion ROM 30°, dorsiflexion 10°; (3) Mrs. E, female, 65 years old, weakness in the left extremities, blood pressure 160/100 mmHg, upper muscle strength 3 / lower 4, elbow flexion ROM 90°, ankle flexion 15°.</w:t>
      </w:r>
    </w:p>
    <w:p w14:paraId="54199CFE" w14:textId="77777777" w:rsidR="00C80C13" w:rsidRDefault="00C80C13">
      <w:pPr>
        <w:spacing w:after="160" w:line="276" w:lineRule="auto"/>
        <w:jc w:val="both"/>
        <w:rPr>
          <w:rFonts w:ascii="Times New Roman" w:hAnsi="Times New Roman" w:cs="Times New Roman"/>
          <w:sz w:val="24"/>
          <w:szCs w:val="24"/>
        </w:rPr>
      </w:pPr>
    </w:p>
    <w:p w14:paraId="5F5A3642" w14:textId="77777777" w:rsidR="00C80C13" w:rsidRDefault="00C80C13">
      <w:pPr>
        <w:spacing w:after="160" w:line="276" w:lineRule="auto"/>
        <w:jc w:val="both"/>
        <w:rPr>
          <w:rFonts w:ascii="Times New Roman" w:hAnsi="Times New Roman" w:cs="Times New Roman"/>
          <w:sz w:val="24"/>
          <w:szCs w:val="24"/>
        </w:rPr>
      </w:pPr>
    </w:p>
    <w:p w14:paraId="13C7B742" w14:textId="77777777" w:rsidR="00C80C13" w:rsidRDefault="00C80C13">
      <w:pPr>
        <w:spacing w:after="160" w:line="276" w:lineRule="auto"/>
        <w:jc w:val="both"/>
        <w:rPr>
          <w:rFonts w:ascii="Times New Roman" w:hAnsi="Times New Roman" w:cs="Times New Roman"/>
          <w:sz w:val="24"/>
          <w:szCs w:val="24"/>
        </w:rPr>
      </w:pPr>
    </w:p>
    <w:p w14:paraId="4ED20762" w14:textId="77777777" w:rsidR="00C80C13" w:rsidRDefault="00C80C13">
      <w:pPr>
        <w:spacing w:after="160" w:line="276" w:lineRule="auto"/>
        <w:jc w:val="both"/>
        <w:rPr>
          <w:rFonts w:ascii="Times New Roman" w:hAnsi="Times New Roman" w:cs="Times New Roman"/>
          <w:sz w:val="24"/>
          <w:szCs w:val="24"/>
        </w:rPr>
      </w:pPr>
    </w:p>
    <w:p w14:paraId="4291A403" w14:textId="77777777" w:rsidR="008D346F" w:rsidRDefault="008D346F">
      <w:pPr>
        <w:spacing w:after="160" w:line="276" w:lineRule="auto"/>
        <w:jc w:val="both"/>
        <w:rPr>
          <w:rFonts w:ascii="Times New Roman" w:hAnsi="Times New Roman" w:cs="Times New Roman"/>
          <w:sz w:val="24"/>
          <w:szCs w:val="24"/>
        </w:rPr>
      </w:pPr>
    </w:p>
    <w:p w14:paraId="0CBB3328" w14:textId="77777777" w:rsidR="008D346F" w:rsidRDefault="008D346F">
      <w:pPr>
        <w:spacing w:after="160" w:line="276" w:lineRule="auto"/>
        <w:jc w:val="both"/>
        <w:rPr>
          <w:rFonts w:ascii="Times New Roman" w:hAnsi="Times New Roman" w:cs="Times New Roman"/>
          <w:sz w:val="24"/>
          <w:szCs w:val="24"/>
        </w:rPr>
      </w:pPr>
    </w:p>
    <w:p w14:paraId="7886CC27" w14:textId="77777777" w:rsidR="008D346F" w:rsidRDefault="008D346F">
      <w:pPr>
        <w:spacing w:after="160" w:line="276" w:lineRule="auto"/>
        <w:jc w:val="both"/>
        <w:rPr>
          <w:rFonts w:ascii="Times New Roman" w:hAnsi="Times New Roman" w:cs="Times New Roman"/>
          <w:sz w:val="24"/>
          <w:szCs w:val="24"/>
        </w:rPr>
      </w:pPr>
    </w:p>
    <w:p w14:paraId="174D7412" w14:textId="77777777" w:rsidR="008D346F" w:rsidRPr="00C80C13" w:rsidRDefault="008D346F">
      <w:pPr>
        <w:spacing w:after="160" w:line="276" w:lineRule="auto"/>
        <w:jc w:val="both"/>
        <w:rPr>
          <w:rFonts w:ascii="Times New Roman" w:hAnsi="Times New Roman" w:cs="Times New Roman"/>
          <w:sz w:val="24"/>
          <w:szCs w:val="24"/>
        </w:rPr>
      </w:pPr>
    </w:p>
    <w:p w14:paraId="07D23086" w14:textId="77777777" w:rsidR="00EF0F57" w:rsidRPr="00C80C13" w:rsidRDefault="00000000">
      <w:pPr>
        <w:spacing w:before="120" w:after="120"/>
        <w:rPr>
          <w:rFonts w:ascii="Times New Roman" w:hAnsi="Times New Roman" w:cs="Times New Roman"/>
          <w:sz w:val="24"/>
          <w:szCs w:val="24"/>
        </w:rPr>
      </w:pPr>
      <w:r w:rsidRPr="00C80C13">
        <w:rPr>
          <w:rFonts w:ascii="Times New Roman" w:hAnsi="Times New Roman" w:cs="Times New Roman"/>
          <w:b/>
          <w:bCs/>
          <w:sz w:val="21"/>
          <w:szCs w:val="21"/>
        </w:rPr>
        <w:t>Table 1. Evaluation of Muscle Strength and ROM Before and After Mirror Therapy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700"/>
        <w:gridCol w:w="1700"/>
        <w:gridCol w:w="1900"/>
        <w:gridCol w:w="2760"/>
      </w:tblGrid>
      <w:tr w:rsidR="00EF0F57" w:rsidRPr="00C80C13" w14:paraId="55B11EDC" w14:textId="77777777">
        <w:trPr>
          <w:tblHeader/>
        </w:trPr>
        <w:tc>
          <w:tcPr>
            <w:tcW w:w="13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259C3768" w14:textId="77777777" w:rsidR="00EF0F57" w:rsidRPr="00C80C13" w:rsidRDefault="00000000">
            <w:pPr>
              <w:rPr>
                <w:rFonts w:ascii="Times New Roman" w:hAnsi="Times New Roman" w:cs="Times New Roman"/>
              </w:rPr>
            </w:pPr>
            <w:r w:rsidRPr="00C80C13">
              <w:rPr>
                <w:rFonts w:ascii="Times New Roman" w:hAnsi="Times New Roman" w:cs="Times New Roman"/>
                <w:b/>
                <w:bCs/>
              </w:rPr>
              <w:t>Client</w:t>
            </w:r>
          </w:p>
        </w:tc>
        <w:tc>
          <w:tcPr>
            <w:tcW w:w="17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7506697E" w14:textId="77777777" w:rsidR="00EF0F57" w:rsidRPr="00C80C13" w:rsidRDefault="00000000">
            <w:pPr>
              <w:rPr>
                <w:rFonts w:ascii="Times New Roman" w:hAnsi="Times New Roman" w:cs="Times New Roman"/>
              </w:rPr>
            </w:pPr>
            <w:r w:rsidRPr="00C80C13">
              <w:rPr>
                <w:rFonts w:ascii="Times New Roman" w:hAnsi="Times New Roman" w:cs="Times New Roman"/>
                <w:b/>
                <w:bCs/>
              </w:rPr>
              <w:t>Initial Muscle Strength</w:t>
            </w:r>
          </w:p>
        </w:tc>
        <w:tc>
          <w:tcPr>
            <w:tcW w:w="17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120A0960" w14:textId="77777777" w:rsidR="00EF0F57" w:rsidRPr="00C80C13" w:rsidRDefault="00000000">
            <w:pPr>
              <w:rPr>
                <w:rFonts w:ascii="Times New Roman" w:hAnsi="Times New Roman" w:cs="Times New Roman"/>
              </w:rPr>
            </w:pPr>
            <w:r w:rsidRPr="00C80C13">
              <w:rPr>
                <w:rFonts w:ascii="Times New Roman" w:hAnsi="Times New Roman" w:cs="Times New Roman"/>
                <w:b/>
                <w:bCs/>
              </w:rPr>
              <w:t>Final Muscle Strength (Day 3)</w:t>
            </w:r>
          </w:p>
        </w:tc>
        <w:tc>
          <w:tcPr>
            <w:tcW w:w="19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2616726E" w14:textId="77777777" w:rsidR="00EF0F57" w:rsidRPr="00C80C13" w:rsidRDefault="00000000">
            <w:pPr>
              <w:rPr>
                <w:rFonts w:ascii="Times New Roman" w:hAnsi="Times New Roman" w:cs="Times New Roman"/>
              </w:rPr>
            </w:pPr>
            <w:r w:rsidRPr="00C80C13">
              <w:rPr>
                <w:rFonts w:ascii="Times New Roman" w:hAnsi="Times New Roman" w:cs="Times New Roman"/>
                <w:b/>
                <w:bCs/>
              </w:rPr>
              <w:t>Initial ROM</w:t>
            </w:r>
          </w:p>
        </w:tc>
        <w:tc>
          <w:tcPr>
            <w:tcW w:w="276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4630B589" w14:textId="77777777" w:rsidR="00EF0F57" w:rsidRPr="00C80C13" w:rsidRDefault="00000000">
            <w:pPr>
              <w:rPr>
                <w:rFonts w:ascii="Times New Roman" w:hAnsi="Times New Roman" w:cs="Times New Roman"/>
              </w:rPr>
            </w:pPr>
            <w:r w:rsidRPr="00C80C13">
              <w:rPr>
                <w:rFonts w:ascii="Times New Roman" w:hAnsi="Times New Roman" w:cs="Times New Roman"/>
                <w:b/>
                <w:bCs/>
              </w:rPr>
              <w:t>Evaluation Result</w:t>
            </w:r>
          </w:p>
        </w:tc>
      </w:tr>
      <w:tr w:rsidR="00EF0F57" w:rsidRPr="00C80C13" w14:paraId="373CA1C2" w14:textId="77777777">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6F9D2D0" w14:textId="77777777" w:rsidR="00EF0F57" w:rsidRPr="00C80C13" w:rsidRDefault="00000000">
            <w:pPr>
              <w:rPr>
                <w:rFonts w:ascii="Times New Roman" w:hAnsi="Times New Roman" w:cs="Times New Roman"/>
              </w:rPr>
            </w:pPr>
            <w:r w:rsidRPr="00C80C13">
              <w:rPr>
                <w:rFonts w:ascii="Times New Roman" w:hAnsi="Times New Roman" w:cs="Times New Roman"/>
              </w:rPr>
              <w:t>Mr. J (Client 1)</w:t>
            </w:r>
          </w:p>
        </w:tc>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391936D3" w14:textId="77777777" w:rsidR="00EF0F57" w:rsidRPr="00C80C13" w:rsidRDefault="00000000">
            <w:pPr>
              <w:rPr>
                <w:rFonts w:ascii="Times New Roman" w:hAnsi="Times New Roman" w:cs="Times New Roman"/>
              </w:rPr>
            </w:pPr>
            <w:r w:rsidRPr="00C80C13">
              <w:rPr>
                <w:rFonts w:ascii="Times New Roman" w:hAnsi="Times New Roman" w:cs="Times New Roman"/>
              </w:rPr>
              <w:t>Upper: 3 / Lower: 1</w:t>
            </w:r>
          </w:p>
        </w:tc>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7591E83" w14:textId="77777777" w:rsidR="00EF0F57" w:rsidRPr="00C80C13" w:rsidRDefault="00000000">
            <w:pPr>
              <w:rPr>
                <w:rFonts w:ascii="Times New Roman" w:hAnsi="Times New Roman" w:cs="Times New Roman"/>
              </w:rPr>
            </w:pPr>
            <w:r w:rsidRPr="00C80C13">
              <w:rPr>
                <w:rFonts w:ascii="Times New Roman" w:hAnsi="Times New Roman" w:cs="Times New Roman"/>
              </w:rPr>
              <w:t>Upper: 4 / Lower: 2</w:t>
            </w:r>
          </w:p>
        </w:tc>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0F4439B" w14:textId="77777777" w:rsidR="00EF0F57" w:rsidRPr="00C80C13" w:rsidRDefault="00000000">
            <w:pPr>
              <w:rPr>
                <w:rFonts w:ascii="Times New Roman" w:hAnsi="Times New Roman" w:cs="Times New Roman"/>
              </w:rPr>
            </w:pPr>
            <w:r w:rsidRPr="00C80C13">
              <w:rPr>
                <w:rFonts w:ascii="Times New Roman" w:hAnsi="Times New Roman" w:cs="Times New Roman"/>
              </w:rPr>
              <w:t>Elbow flexion 100°, wrist flexion 80°</w:t>
            </w:r>
          </w:p>
        </w:tc>
        <w:tc>
          <w:tcPr>
            <w:tcW w:w="27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5D27E1B" w14:textId="77777777" w:rsidR="00EF0F57" w:rsidRPr="00C80C13" w:rsidRDefault="00000000">
            <w:pPr>
              <w:rPr>
                <w:rFonts w:ascii="Times New Roman" w:hAnsi="Times New Roman" w:cs="Times New Roman"/>
              </w:rPr>
            </w:pPr>
            <w:r w:rsidRPr="00C80C13">
              <w:rPr>
                <w:rFonts w:ascii="Times New Roman" w:hAnsi="Times New Roman" w:cs="Times New Roman"/>
              </w:rPr>
              <w:t>Partially resolved – ROM and mobility improved</w:t>
            </w:r>
          </w:p>
        </w:tc>
      </w:tr>
      <w:tr w:rsidR="00EF0F57" w:rsidRPr="00C80C13" w14:paraId="5AC19711" w14:textId="77777777">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C16620D" w14:textId="77777777" w:rsidR="00EF0F57" w:rsidRPr="00C80C13" w:rsidRDefault="00000000">
            <w:pPr>
              <w:rPr>
                <w:rFonts w:ascii="Times New Roman" w:hAnsi="Times New Roman" w:cs="Times New Roman"/>
              </w:rPr>
            </w:pPr>
            <w:r w:rsidRPr="00C80C13">
              <w:rPr>
                <w:rFonts w:ascii="Times New Roman" w:hAnsi="Times New Roman" w:cs="Times New Roman"/>
              </w:rPr>
              <w:t>Mrs. R (Client 2)</w:t>
            </w:r>
          </w:p>
        </w:tc>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71BC46A4" w14:textId="77777777" w:rsidR="00EF0F57" w:rsidRPr="00C80C13" w:rsidRDefault="00000000">
            <w:pPr>
              <w:rPr>
                <w:rFonts w:ascii="Times New Roman" w:hAnsi="Times New Roman" w:cs="Times New Roman"/>
              </w:rPr>
            </w:pPr>
            <w:r w:rsidRPr="00C80C13">
              <w:rPr>
                <w:rFonts w:ascii="Times New Roman" w:hAnsi="Times New Roman" w:cs="Times New Roman"/>
              </w:rPr>
              <w:t>Upper: 5 / Lower: 2</w:t>
            </w:r>
          </w:p>
        </w:tc>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EEEEB13" w14:textId="77777777" w:rsidR="00EF0F57" w:rsidRPr="00C80C13" w:rsidRDefault="00000000">
            <w:pPr>
              <w:rPr>
                <w:rFonts w:ascii="Times New Roman" w:hAnsi="Times New Roman" w:cs="Times New Roman"/>
              </w:rPr>
            </w:pPr>
            <w:r w:rsidRPr="00C80C13">
              <w:rPr>
                <w:rFonts w:ascii="Times New Roman" w:hAnsi="Times New Roman" w:cs="Times New Roman"/>
              </w:rPr>
              <w:t>Lower: 2 (coordination improved)</w:t>
            </w:r>
          </w:p>
        </w:tc>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EBD2E84" w14:textId="77777777" w:rsidR="00EF0F57" w:rsidRPr="00C80C13" w:rsidRDefault="00000000">
            <w:pPr>
              <w:rPr>
                <w:rFonts w:ascii="Times New Roman" w:hAnsi="Times New Roman" w:cs="Times New Roman"/>
              </w:rPr>
            </w:pPr>
            <w:r w:rsidRPr="00C80C13">
              <w:rPr>
                <w:rFonts w:ascii="Times New Roman" w:hAnsi="Times New Roman" w:cs="Times New Roman"/>
              </w:rPr>
              <w:t>Toe flexion 30°, extension 40°, dorsiflexion 10°</w:t>
            </w:r>
          </w:p>
        </w:tc>
        <w:tc>
          <w:tcPr>
            <w:tcW w:w="27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AAE460A" w14:textId="77777777" w:rsidR="00EF0F57" w:rsidRPr="00C80C13" w:rsidRDefault="00000000">
            <w:pPr>
              <w:rPr>
                <w:rFonts w:ascii="Times New Roman" w:hAnsi="Times New Roman" w:cs="Times New Roman"/>
              </w:rPr>
            </w:pPr>
            <w:r w:rsidRPr="00C80C13">
              <w:rPr>
                <w:rFonts w:ascii="Times New Roman" w:hAnsi="Times New Roman" w:cs="Times New Roman"/>
              </w:rPr>
              <w:t>Partially resolved – activity tolerance improved</w:t>
            </w:r>
          </w:p>
        </w:tc>
      </w:tr>
      <w:tr w:rsidR="00EF0F57" w:rsidRPr="00C80C13" w14:paraId="7251EF48" w14:textId="77777777">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FCD522C" w14:textId="77777777" w:rsidR="00EF0F57" w:rsidRPr="00C80C13" w:rsidRDefault="00000000">
            <w:pPr>
              <w:rPr>
                <w:rFonts w:ascii="Times New Roman" w:hAnsi="Times New Roman" w:cs="Times New Roman"/>
              </w:rPr>
            </w:pPr>
            <w:r w:rsidRPr="00C80C13">
              <w:rPr>
                <w:rFonts w:ascii="Times New Roman" w:hAnsi="Times New Roman" w:cs="Times New Roman"/>
              </w:rPr>
              <w:t>Mrs. E (Client 3)</w:t>
            </w:r>
          </w:p>
        </w:tc>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2D64A83" w14:textId="77777777" w:rsidR="00EF0F57" w:rsidRPr="00C80C13" w:rsidRDefault="00000000">
            <w:pPr>
              <w:rPr>
                <w:rFonts w:ascii="Times New Roman" w:hAnsi="Times New Roman" w:cs="Times New Roman"/>
              </w:rPr>
            </w:pPr>
            <w:r w:rsidRPr="00C80C13">
              <w:rPr>
                <w:rFonts w:ascii="Times New Roman" w:hAnsi="Times New Roman" w:cs="Times New Roman"/>
              </w:rPr>
              <w:t>Upper: 3 / Lower: 4</w:t>
            </w:r>
          </w:p>
        </w:tc>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1F545FA" w14:textId="77777777" w:rsidR="00EF0F57" w:rsidRPr="00C80C13" w:rsidRDefault="00000000">
            <w:pPr>
              <w:rPr>
                <w:rFonts w:ascii="Times New Roman" w:hAnsi="Times New Roman" w:cs="Times New Roman"/>
              </w:rPr>
            </w:pPr>
            <w:r w:rsidRPr="00C80C13">
              <w:rPr>
                <w:rFonts w:ascii="Times New Roman" w:hAnsi="Times New Roman" w:cs="Times New Roman"/>
              </w:rPr>
              <w:t>Upper: 4 / Lower: 5 (trend)</w:t>
            </w:r>
          </w:p>
        </w:tc>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798A5F1C" w14:textId="77777777" w:rsidR="00EF0F57" w:rsidRPr="00C80C13" w:rsidRDefault="00000000">
            <w:pPr>
              <w:rPr>
                <w:rFonts w:ascii="Times New Roman" w:hAnsi="Times New Roman" w:cs="Times New Roman"/>
              </w:rPr>
            </w:pPr>
            <w:r w:rsidRPr="00C80C13">
              <w:rPr>
                <w:rFonts w:ascii="Times New Roman" w:hAnsi="Times New Roman" w:cs="Times New Roman"/>
              </w:rPr>
              <w:t>Elbow flexion 90°, ankle flexion 15°</w:t>
            </w:r>
          </w:p>
        </w:tc>
        <w:tc>
          <w:tcPr>
            <w:tcW w:w="276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C6FA677" w14:textId="77777777" w:rsidR="00EF0F57" w:rsidRPr="00C80C13" w:rsidRDefault="00000000">
            <w:pPr>
              <w:rPr>
                <w:rFonts w:ascii="Times New Roman" w:hAnsi="Times New Roman" w:cs="Times New Roman"/>
              </w:rPr>
            </w:pPr>
            <w:r w:rsidRPr="00C80C13">
              <w:rPr>
                <w:rFonts w:ascii="Times New Roman" w:hAnsi="Times New Roman" w:cs="Times New Roman"/>
              </w:rPr>
              <w:t>Partially resolved – wider ROM, minimal assistance</w:t>
            </w:r>
          </w:p>
        </w:tc>
      </w:tr>
    </w:tbl>
    <w:p w14:paraId="4C558502" w14:textId="77777777" w:rsidR="00EF0F57" w:rsidRPr="00C80C13" w:rsidRDefault="00EF0F57">
      <w:pPr>
        <w:spacing w:before="200"/>
        <w:rPr>
          <w:rFonts w:ascii="Times New Roman" w:hAnsi="Times New Roman" w:cs="Times New Roman"/>
        </w:rPr>
      </w:pPr>
    </w:p>
    <w:p w14:paraId="42DE0C85" w14:textId="77777777" w:rsidR="00815914" w:rsidRPr="00815914" w:rsidRDefault="00000000" w:rsidP="00815914">
      <w:pPr>
        <w:ind w:firstLine="720"/>
        <w:jc w:val="both"/>
        <w:rPr>
          <w:rFonts w:ascii="Times New Roman" w:hAnsi="Times New Roman" w:cs="Times New Roman"/>
          <w:sz w:val="24"/>
          <w:szCs w:val="24"/>
        </w:rPr>
      </w:pPr>
      <w:r w:rsidRPr="00815914">
        <w:rPr>
          <w:rFonts w:ascii="Times New Roman" w:hAnsi="Times New Roman" w:cs="Times New Roman"/>
          <w:sz w:val="24"/>
          <w:szCs w:val="24"/>
        </w:rPr>
        <w:t>On the first day, the problem had not been resolved in any of the three clients. On the second day, all clients showed positive responses, so the problem was partially resolved. On the third day, all three clients experienced more significant improvement: increased muscle strength, more controlled ROM, and improved mobility.</w:t>
      </w:r>
    </w:p>
    <w:p w14:paraId="09BB5C80" w14:textId="3851B385" w:rsidR="00EF0F57" w:rsidRDefault="00000000" w:rsidP="00815914">
      <w:pPr>
        <w:ind w:firstLine="720"/>
        <w:jc w:val="both"/>
        <w:rPr>
          <w:rFonts w:ascii="Times New Roman" w:hAnsi="Times New Roman" w:cs="Times New Roman"/>
          <w:sz w:val="24"/>
          <w:szCs w:val="24"/>
        </w:rPr>
      </w:pPr>
      <w:r w:rsidRPr="00815914">
        <w:rPr>
          <w:rFonts w:ascii="Times New Roman" w:hAnsi="Times New Roman" w:cs="Times New Roman"/>
          <w:sz w:val="24"/>
          <w:szCs w:val="24"/>
        </w:rPr>
        <w:t>Based on the case study results of the three respondents diagnosed with non-hemorrhagic stroke, the same main nursing problem was found: impaired physical mobility, characterized by hemiparesis, decreased muscle strength, balance disturbances, and limited ADL. This is consistent with the theory that non-hemorrhagic stroke causes damage to motor nerve cells due to blockage of cerebral blood vessels (Feigin et al., 2021). Mirror Therapy was implemented systematically using visual stimulation through a mirror. This visual feedback stimulates the central nervous system and increases neuroplasticity, thereby helping motor function recovery (Fadlilah, 2024). This is in line with the study by Zhang et al. (2021), which stated that Mirror Therapy combined with progressive mobilization has a positive impact on improving motor function and ROM in post-stroke patients. On the first day, all three clients still experienced limited ROM and low muscle strength. On the second day, they began to show improved activity tolerance and ability to change positions with minimal assistance. On the third day, all clients showed further improvement in muscle strength, ROM, and the ability to perform light activities partially independently. Family involvement in the rehabilitation process is also an important factor in the success of the intervention. Families who actively participate in mobilization contribute to patient motivation and consistency of therapy (Powers et al., 2020). The limitations of this study include its short duration (3 days), small number of respondents (3 people), and variation in clinical conditions among respondents, such as differences in age, severity, and comorbidities.</w:t>
      </w:r>
    </w:p>
    <w:p w14:paraId="77F2EB92" w14:textId="77777777" w:rsidR="00815914" w:rsidRPr="00815914" w:rsidRDefault="00815914" w:rsidP="00815914">
      <w:pPr>
        <w:spacing w:after="160" w:line="276" w:lineRule="auto"/>
        <w:ind w:firstLine="720"/>
        <w:jc w:val="both"/>
        <w:rPr>
          <w:rFonts w:ascii="Times New Roman" w:hAnsi="Times New Roman" w:cs="Times New Roman"/>
          <w:sz w:val="24"/>
          <w:szCs w:val="24"/>
        </w:rPr>
      </w:pPr>
    </w:p>
    <w:p w14:paraId="73D85FE1" w14:textId="5AA56C51" w:rsidR="00EF0F57" w:rsidRPr="00C80C13" w:rsidRDefault="00815914">
      <w:pPr>
        <w:spacing w:before="240" w:after="160"/>
        <w:rPr>
          <w:rFonts w:ascii="Times New Roman" w:hAnsi="Times New Roman" w:cs="Times New Roman"/>
        </w:rPr>
      </w:pPr>
      <w:r>
        <w:rPr>
          <w:rFonts w:ascii="Times New Roman" w:hAnsi="Times New Roman" w:cs="Times New Roman"/>
          <w:b/>
          <w:bCs/>
          <w:sz w:val="24"/>
          <w:szCs w:val="24"/>
        </w:rPr>
        <w:lastRenderedPageBreak/>
        <w:t>CONCLUSIONS</w:t>
      </w:r>
    </w:p>
    <w:p w14:paraId="4EE34295" w14:textId="77777777" w:rsidR="00EF0F57" w:rsidRDefault="00000000" w:rsidP="00815914">
      <w:pPr>
        <w:ind w:firstLine="720"/>
        <w:jc w:val="both"/>
        <w:rPr>
          <w:rFonts w:ascii="Times New Roman" w:hAnsi="Times New Roman" w:cs="Times New Roman"/>
          <w:sz w:val="24"/>
          <w:szCs w:val="24"/>
        </w:rPr>
      </w:pPr>
      <w:r w:rsidRPr="00815914">
        <w:rPr>
          <w:rFonts w:ascii="Times New Roman" w:hAnsi="Times New Roman" w:cs="Times New Roman"/>
          <w:sz w:val="24"/>
          <w:szCs w:val="24"/>
        </w:rPr>
        <w:t>Based on the case study results, all three elderly respondents diagnosed with non-hemorrhagic stroke experienced impaired physical mobility characterized by hemiparesis, decreased muscle strength, and limited ROM. Mirror Therapy nursing intervention was shown to be effective in gradually improving physical mobility over 3 days, although the problem was not fully resolved, as the recovery process requires a longer time and continued therapy. It is recommended that nurses at UPTD Puskesmas Rambung continue and develop the Mirror Therapy program as part of elderly health services. Patients’ families are expected to support the implementation of therapy at home on a regular basis. Educational institutions are expected to integrate Mirror Therapy into the gerontological nursing curriculum. Further research with a larger sample size and longer duration is needed for more comprehensive results.</w:t>
      </w:r>
    </w:p>
    <w:p w14:paraId="0D39343C" w14:textId="6DF63903" w:rsidR="00815914" w:rsidRDefault="00815914" w:rsidP="00815914">
      <w:pPr>
        <w:jc w:val="both"/>
        <w:rPr>
          <w:rFonts w:ascii="Times New Roman" w:hAnsi="Times New Roman" w:cs="Times New Roman"/>
          <w:b/>
          <w:bCs/>
          <w:sz w:val="24"/>
          <w:szCs w:val="24"/>
        </w:rPr>
      </w:pPr>
      <w:r w:rsidRPr="00815914">
        <w:rPr>
          <w:rFonts w:ascii="Times New Roman" w:hAnsi="Times New Roman" w:cs="Times New Roman"/>
          <w:b/>
          <w:bCs/>
          <w:sz w:val="24"/>
          <w:szCs w:val="24"/>
        </w:rPr>
        <w:t>ACKNOWLEDGEMENT</w:t>
      </w:r>
    </w:p>
    <w:p w14:paraId="142EB60C" w14:textId="77109941" w:rsidR="00815914" w:rsidRDefault="00815914" w:rsidP="00815914">
      <w:pPr>
        <w:ind w:firstLine="720"/>
        <w:jc w:val="both"/>
        <w:rPr>
          <w:rFonts w:ascii="Times New Roman" w:hAnsi="Times New Roman" w:cs="Times New Roman"/>
          <w:sz w:val="24"/>
          <w:szCs w:val="24"/>
        </w:rPr>
      </w:pPr>
      <w:r w:rsidRPr="00815914">
        <w:rPr>
          <w:rFonts w:ascii="Times New Roman" w:hAnsi="Times New Roman" w:cs="Times New Roman"/>
          <w:sz w:val="24"/>
          <w:szCs w:val="24"/>
        </w:rPr>
        <w:t>The author expresses sincere gratitude to Allah SWT for His blessings in completing this research article. Special thanks are extended to the Head and all staff members of UPTD Puskesmas Rambung, Binjai City, for granting permission and providing exceptional cooperation throughout the data collection process. The author also deeply appreciates all the elderly patients and their families who willingly participated as respondents in this study. Lastly, heartfelt gratitude goes to the advisors at Akademi Keperawatan Kesdam I/ Bukit Barisan Binjai</w:t>
      </w:r>
      <w:r>
        <w:rPr>
          <w:rFonts w:ascii="Times New Roman" w:hAnsi="Times New Roman" w:cs="Times New Roman"/>
          <w:b/>
          <w:bCs/>
          <w:sz w:val="24"/>
          <w:szCs w:val="24"/>
        </w:rPr>
        <w:t xml:space="preserve"> </w:t>
      </w:r>
      <w:r w:rsidRPr="00815914">
        <w:rPr>
          <w:rFonts w:ascii="Times New Roman" w:hAnsi="Times New Roman" w:cs="Times New Roman"/>
          <w:sz w:val="24"/>
          <w:szCs w:val="24"/>
        </w:rPr>
        <w:t>for their valuable guidance, as well as to family and colleagues for their continuous support.</w:t>
      </w:r>
    </w:p>
    <w:p w14:paraId="5F6C27AB" w14:textId="77777777" w:rsidR="00815914" w:rsidRDefault="00815914" w:rsidP="00815914">
      <w:pPr>
        <w:jc w:val="both"/>
        <w:rPr>
          <w:rFonts w:ascii="Times New Roman" w:hAnsi="Times New Roman" w:cs="Times New Roman"/>
          <w:sz w:val="24"/>
          <w:szCs w:val="24"/>
        </w:rPr>
      </w:pPr>
    </w:p>
    <w:p w14:paraId="32204924" w14:textId="182A7DED" w:rsidR="00815914" w:rsidRPr="00815914" w:rsidRDefault="00815914" w:rsidP="00815914">
      <w:pPr>
        <w:jc w:val="both"/>
        <w:rPr>
          <w:rFonts w:ascii="Times New Roman" w:hAnsi="Times New Roman" w:cs="Times New Roman"/>
          <w:b/>
          <w:bCs/>
          <w:sz w:val="24"/>
          <w:szCs w:val="24"/>
        </w:rPr>
      </w:pPr>
      <w:r w:rsidRPr="001E715B">
        <w:rPr>
          <w:rFonts w:ascii="Times New Roman" w:eastAsia="Calibri" w:hAnsi="Times New Roman" w:cs="Times New Roman"/>
          <w:b/>
          <w:lang w:val="en" w:eastAsia="en-ID"/>
        </w:rPr>
        <w:t>CONFLICT OF INTEREST AND FUNDING DISCLOSURE</w:t>
      </w:r>
      <w:r w:rsidRPr="00815914">
        <w:rPr>
          <w:rFonts w:ascii="Times New Roman" w:hAnsi="Times New Roman" w:cs="Times New Roman"/>
          <w:b/>
          <w:bCs/>
          <w:sz w:val="24"/>
          <w:szCs w:val="24"/>
        </w:rPr>
        <w:t xml:space="preserve"> </w:t>
      </w:r>
    </w:p>
    <w:p w14:paraId="6F7AC38E" w14:textId="39ABFF82" w:rsidR="00815914" w:rsidRDefault="00815914" w:rsidP="00815914">
      <w:pPr>
        <w:pStyle w:val="NormalWeb"/>
        <w:spacing w:before="0" w:beforeAutospacing="0" w:after="0" w:afterAutospacing="0"/>
        <w:ind w:firstLine="720"/>
        <w:jc w:val="both"/>
      </w:pPr>
      <w:r>
        <w:t xml:space="preserve">The authors declare that they have no known competing financial interests or personal relationships that could have appeared to influence the work reported in this paper. This research was supported by </w:t>
      </w:r>
      <w:r w:rsidRPr="00815914">
        <w:t>Akademi Keperawatan Kesdam I/ Bukit Barisan Binjai</w:t>
      </w:r>
      <w:r>
        <w:t>.</w:t>
      </w:r>
    </w:p>
    <w:p w14:paraId="12BD66D7" w14:textId="53AD1545" w:rsidR="00815914" w:rsidRDefault="00815914" w:rsidP="00815914">
      <w:pPr>
        <w:jc w:val="both"/>
        <w:rPr>
          <w:rFonts w:ascii="Times New Roman" w:hAnsi="Times New Roman" w:cs="Times New Roman"/>
          <w:b/>
          <w:bCs/>
          <w:sz w:val="24"/>
          <w:szCs w:val="24"/>
        </w:rPr>
      </w:pPr>
    </w:p>
    <w:p w14:paraId="15086263" w14:textId="2A6C9D35" w:rsidR="00815914" w:rsidRDefault="00815914" w:rsidP="00815914">
      <w:pPr>
        <w:jc w:val="both"/>
        <w:rPr>
          <w:rFonts w:ascii="Times New Roman" w:hAnsi="Times New Roman" w:cs="Times New Roman"/>
          <w:b/>
          <w:bCs/>
          <w:sz w:val="24"/>
          <w:szCs w:val="24"/>
        </w:rPr>
      </w:pPr>
      <w:r w:rsidRPr="00815914">
        <w:rPr>
          <w:rFonts w:ascii="Times New Roman" w:hAnsi="Times New Roman" w:cs="Times New Roman"/>
          <w:b/>
          <w:bCs/>
          <w:sz w:val="24"/>
          <w:szCs w:val="24"/>
        </w:rPr>
        <w:t>AUTHOR CONTRIBUTIONS</w:t>
      </w:r>
    </w:p>
    <w:p w14:paraId="511A67E9" w14:textId="69E055B5" w:rsidR="00815914" w:rsidRDefault="00815914" w:rsidP="00815914">
      <w:pPr>
        <w:jc w:val="both"/>
        <w:rPr>
          <w:rFonts w:ascii="Times New Roman" w:hAnsi="Times New Roman" w:cs="Times New Roman"/>
          <w:sz w:val="24"/>
          <w:szCs w:val="24"/>
        </w:rPr>
      </w:pPr>
      <w:r>
        <w:rPr>
          <w:rFonts w:ascii="Times New Roman" w:hAnsi="Times New Roman" w:cs="Times New Roman"/>
          <w:b/>
          <w:bCs/>
          <w:sz w:val="24"/>
          <w:szCs w:val="24"/>
        </w:rPr>
        <w:tab/>
      </w:r>
      <w:r w:rsidRPr="00815914">
        <w:rPr>
          <w:rFonts w:ascii="Times New Roman" w:hAnsi="Times New Roman" w:cs="Times New Roman"/>
          <w:sz w:val="24"/>
          <w:szCs w:val="24"/>
        </w:rPr>
        <w:t>The corresponding author is the sole contributor to this study. The author was responsible for the conceptualization, research design, data collection, intervention implementation, statistical analysis, and the drafting, writing, and editing of the final manuscript.</w:t>
      </w:r>
    </w:p>
    <w:p w14:paraId="1F1AFC0B" w14:textId="77777777" w:rsidR="007C51D2" w:rsidRPr="00815914" w:rsidRDefault="007C51D2" w:rsidP="00815914">
      <w:pPr>
        <w:jc w:val="both"/>
        <w:rPr>
          <w:rFonts w:ascii="Times New Roman" w:hAnsi="Times New Roman" w:cs="Times New Roman"/>
          <w:b/>
          <w:bCs/>
          <w:sz w:val="32"/>
          <w:szCs w:val="32"/>
        </w:rPr>
      </w:pPr>
    </w:p>
    <w:p w14:paraId="7F7E341A" w14:textId="0288B325" w:rsidR="00EF0F57" w:rsidRPr="00C80C13" w:rsidRDefault="007C51D2">
      <w:pPr>
        <w:spacing w:before="240" w:after="160"/>
        <w:rPr>
          <w:rFonts w:ascii="Times New Roman" w:hAnsi="Times New Roman" w:cs="Times New Roman"/>
        </w:rPr>
      </w:pPr>
      <w:r w:rsidRPr="00C80C13">
        <w:rPr>
          <w:rFonts w:ascii="Times New Roman" w:hAnsi="Times New Roman" w:cs="Times New Roman"/>
          <w:b/>
          <w:bCs/>
          <w:sz w:val="24"/>
          <w:szCs w:val="24"/>
        </w:rPr>
        <w:t>REFERENCES</w:t>
      </w:r>
    </w:p>
    <w:p w14:paraId="27A1D1D1"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Amanda, D. (2018). Risk factors for stroke incidence in adult patients. Jurnal Keperawatan Indonesia, 21(2), 85–92.</w:t>
      </w:r>
    </w:p>
    <w:p w14:paraId="05FB08E2"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Andika, M., et al. (2023). Cardiovascular: Hypertension, stroke, anemia, arrhythmia, dyslipidemia. West Java: Penerbit Adab.</w:t>
      </w:r>
    </w:p>
    <w:p w14:paraId="0A90844C"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Darmawan, I., &amp; Utami, I. T. (2024). Application of ROM exercise on muscle strength in non-hemorrhagic stroke patients. Jurnal Cendikia Muda, 4, 246–254.</w:t>
      </w:r>
    </w:p>
    <w:p w14:paraId="653001F1"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Fadlilah, L. (2024). Mirror Therapy in post-stroke patients. Healthcaring: Jurnal Ilmiah Kesehatan.</w:t>
      </w:r>
    </w:p>
    <w:p w14:paraId="7DC76C70"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lastRenderedPageBreak/>
        <w:t>Feigin, V. L., et al. (2021). Global, regional, and national burden of stroke and its risk factors. The Lancet Neurology, 20(10), 795–820.</w:t>
      </w:r>
    </w:p>
    <w:p w14:paraId="6698087C"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Hisni, D. (2022). Epidemiology of non-hemorrhagic stroke in Asia. Jurnal Kesehatan Masyarakat, 10(1), 1–8.</w:t>
      </w:r>
    </w:p>
    <w:p w14:paraId="718A6A5D"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Ministry of Health of the Republic of Indonesia. (2023). Indonesian Health Survey 2023. Jakarta: Kemenkes RI.</w:t>
      </w:r>
    </w:p>
    <w:p w14:paraId="661F7283"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Powers, W. J., et al. (2020). Guidelines for the early management of patients with acute ischemic stroke. Stroke, 50(12).</w:t>
      </w:r>
    </w:p>
    <w:p w14:paraId="5F78E7AD"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UPTD Puskesmas Rambung. (2026). Data on elderly patients with non-hemorrhagic stroke, 2026. Binjai.</w:t>
      </w:r>
    </w:p>
    <w:p w14:paraId="3C5CBAC1"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Valentina, et al. (2022). Mirror Therapy to improve muscle strength in stroke patients. Jurnal Ilmu Keperawatan, 10(1), 22–30.</w:t>
      </w:r>
    </w:p>
    <w:p w14:paraId="4C754EF6" w14:textId="77777777" w:rsidR="00EF0F57" w:rsidRPr="008D346F" w:rsidRDefault="00000000" w:rsidP="008D346F">
      <w:pPr>
        <w:spacing w:after="140" w:line="276" w:lineRule="auto"/>
        <w:ind w:left="360" w:hanging="360"/>
        <w:jc w:val="both"/>
        <w:rPr>
          <w:rFonts w:ascii="Times New Roman" w:hAnsi="Times New Roman" w:cs="Times New Roman"/>
          <w:sz w:val="24"/>
          <w:szCs w:val="24"/>
        </w:rPr>
      </w:pPr>
      <w:r w:rsidRPr="008D346F">
        <w:rPr>
          <w:rFonts w:ascii="Times New Roman" w:hAnsi="Times New Roman" w:cs="Times New Roman"/>
          <w:sz w:val="24"/>
          <w:szCs w:val="24"/>
        </w:rPr>
        <w:t>Zhang, F., &amp; Zhang, Y. (2021). Effectiveness of mirror therapy combined with progressive mobilization in post-stroke patients. Journal of Rehabilitation Medicine, 53(4), 201–208.</w:t>
      </w:r>
    </w:p>
    <w:sectPr w:rsidR="00EF0F57" w:rsidRPr="008D346F" w:rsidSect="000A2E0E">
      <w:headerReference w:type="even" r:id="rId7"/>
      <w:headerReference w:type="default" r:id="rId8"/>
      <w:footerReference w:type="even" r:id="rId9"/>
      <w:footerReference w:type="default" r:id="rId10"/>
      <w:headerReference w:type="first" r:id="rId11"/>
      <w:footerReference w:type="first" r:id="rId12"/>
      <w:pgSz w:w="12240" w:h="15840"/>
      <w:pgMar w:top="2282"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ABF3" w14:textId="77777777" w:rsidR="00D17640" w:rsidRDefault="00D17640" w:rsidP="000A2E0E">
      <w:r>
        <w:separator/>
      </w:r>
    </w:p>
  </w:endnote>
  <w:endnote w:type="continuationSeparator" w:id="0">
    <w:p w14:paraId="11D38DFC" w14:textId="77777777" w:rsidR="00D17640" w:rsidRDefault="00D17640" w:rsidP="000A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2A7B" w14:textId="77777777" w:rsidR="000A2E0E" w:rsidRDefault="000A2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C614" w14:textId="77777777" w:rsidR="000A2E0E" w:rsidRDefault="000A2E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DD44" w14:textId="77777777" w:rsidR="000A2E0E" w:rsidRDefault="000A2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3E9B" w14:textId="77777777" w:rsidR="00D17640" w:rsidRDefault="00D17640" w:rsidP="000A2E0E">
      <w:r>
        <w:separator/>
      </w:r>
    </w:p>
  </w:footnote>
  <w:footnote w:type="continuationSeparator" w:id="0">
    <w:p w14:paraId="7850CB75" w14:textId="77777777" w:rsidR="00D17640" w:rsidRDefault="00D17640" w:rsidP="000A2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874E" w14:textId="77777777" w:rsidR="000A2E0E" w:rsidRDefault="000A2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48C9" w14:textId="10EE9096" w:rsidR="000A2E0E" w:rsidRDefault="000A2E0E">
    <w:pPr>
      <w:pStyle w:val="Header"/>
    </w:pPr>
    <w:r>
      <w:rPr>
        <w:noProof/>
      </w:rP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1025" type="#_x0000_t75" style="position:absolute;margin-left:-64.55pt;margin-top:-112pt;width:596.15pt;height:842.65pt;z-index:251658240;mso-position-horizontal-relative:margin;mso-position-vertical-relative:margin"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A5F4" w14:textId="77777777" w:rsidR="000A2E0E" w:rsidRDefault="000A2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87949"/>
    <w:multiLevelType w:val="hybridMultilevel"/>
    <w:tmpl w:val="580E74A6"/>
    <w:lvl w:ilvl="0" w:tplc="9B9E9AC6">
      <w:start w:val="1"/>
      <w:numFmt w:val="bullet"/>
      <w:lvlText w:val="●"/>
      <w:lvlJc w:val="left"/>
      <w:pPr>
        <w:ind w:left="720" w:hanging="360"/>
      </w:pPr>
    </w:lvl>
    <w:lvl w:ilvl="1" w:tplc="13E47368">
      <w:start w:val="1"/>
      <w:numFmt w:val="bullet"/>
      <w:lvlText w:val="○"/>
      <w:lvlJc w:val="left"/>
      <w:pPr>
        <w:ind w:left="1440" w:hanging="360"/>
      </w:pPr>
    </w:lvl>
    <w:lvl w:ilvl="2" w:tplc="F0C8C54A">
      <w:start w:val="1"/>
      <w:numFmt w:val="bullet"/>
      <w:lvlText w:val="■"/>
      <w:lvlJc w:val="left"/>
      <w:pPr>
        <w:ind w:left="2160" w:hanging="360"/>
      </w:pPr>
    </w:lvl>
    <w:lvl w:ilvl="3" w:tplc="398E4CD2">
      <w:start w:val="1"/>
      <w:numFmt w:val="bullet"/>
      <w:lvlText w:val="●"/>
      <w:lvlJc w:val="left"/>
      <w:pPr>
        <w:ind w:left="2880" w:hanging="360"/>
      </w:pPr>
    </w:lvl>
    <w:lvl w:ilvl="4" w:tplc="8E307140">
      <w:start w:val="1"/>
      <w:numFmt w:val="bullet"/>
      <w:lvlText w:val="○"/>
      <w:lvlJc w:val="left"/>
      <w:pPr>
        <w:ind w:left="3600" w:hanging="360"/>
      </w:pPr>
    </w:lvl>
    <w:lvl w:ilvl="5" w:tplc="1974B50A">
      <w:start w:val="1"/>
      <w:numFmt w:val="bullet"/>
      <w:lvlText w:val="■"/>
      <w:lvlJc w:val="left"/>
      <w:pPr>
        <w:ind w:left="4320" w:hanging="360"/>
      </w:pPr>
    </w:lvl>
    <w:lvl w:ilvl="6" w:tplc="DC3EC5B0">
      <w:start w:val="1"/>
      <w:numFmt w:val="bullet"/>
      <w:lvlText w:val="●"/>
      <w:lvlJc w:val="left"/>
      <w:pPr>
        <w:ind w:left="5040" w:hanging="360"/>
      </w:pPr>
    </w:lvl>
    <w:lvl w:ilvl="7" w:tplc="87183836">
      <w:start w:val="1"/>
      <w:numFmt w:val="bullet"/>
      <w:lvlText w:val="●"/>
      <w:lvlJc w:val="left"/>
      <w:pPr>
        <w:ind w:left="5760" w:hanging="360"/>
      </w:pPr>
    </w:lvl>
    <w:lvl w:ilvl="8" w:tplc="D5D256C2">
      <w:start w:val="1"/>
      <w:numFmt w:val="bullet"/>
      <w:lvlText w:val="●"/>
      <w:lvlJc w:val="left"/>
      <w:pPr>
        <w:ind w:left="6480" w:hanging="360"/>
      </w:pPr>
    </w:lvl>
  </w:abstractNum>
  <w:num w:numId="1" w16cid:durableId="1895117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F57"/>
    <w:rsid w:val="000A2E0E"/>
    <w:rsid w:val="001A7ECD"/>
    <w:rsid w:val="001D3B32"/>
    <w:rsid w:val="007C51D2"/>
    <w:rsid w:val="007F0CB9"/>
    <w:rsid w:val="00815914"/>
    <w:rsid w:val="008D346F"/>
    <w:rsid w:val="00C80C13"/>
    <w:rsid w:val="00D17640"/>
    <w:rsid w:val="00E0408E"/>
    <w:rsid w:val="00EA78DE"/>
    <w:rsid w:val="00EF0F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549E"/>
  <w15:docId w15:val="{9D65B166-B104-9545-9A19-401599B1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Kuat1">
    <w:name w:val="Kua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815914"/>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A2E0E"/>
    <w:pPr>
      <w:tabs>
        <w:tab w:val="center" w:pos="4513"/>
        <w:tab w:val="right" w:pos="9026"/>
      </w:tabs>
    </w:pPr>
  </w:style>
  <w:style w:type="character" w:customStyle="1" w:styleId="HeaderChar">
    <w:name w:val="Header Char"/>
    <w:basedOn w:val="DefaultParagraphFont"/>
    <w:link w:val="Header"/>
    <w:uiPriority w:val="99"/>
    <w:rsid w:val="000A2E0E"/>
  </w:style>
  <w:style w:type="paragraph" w:styleId="Footer">
    <w:name w:val="footer"/>
    <w:basedOn w:val="Normal"/>
    <w:link w:val="FooterChar"/>
    <w:uiPriority w:val="99"/>
    <w:unhideWhenUsed/>
    <w:rsid w:val="000A2E0E"/>
    <w:pPr>
      <w:tabs>
        <w:tab w:val="center" w:pos="4513"/>
        <w:tab w:val="right" w:pos="9026"/>
      </w:tabs>
    </w:pPr>
  </w:style>
  <w:style w:type="character" w:customStyle="1" w:styleId="FooterChar">
    <w:name w:val="Footer Char"/>
    <w:basedOn w:val="DefaultParagraphFont"/>
    <w:link w:val="Footer"/>
    <w:uiPriority w:val="99"/>
    <w:rsid w:val="000A2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1742</Words>
  <Characters>9936</Characters>
  <Application>Microsoft Office Word</Application>
  <DocSecurity>0</DocSecurity>
  <Lines>82</Lines>
  <Paragraphs>23</Paragraphs>
  <ScaleCrop>false</ScaleCrop>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PROFESI BIDAN</cp:lastModifiedBy>
  <cp:revision>3</cp:revision>
  <dcterms:created xsi:type="dcterms:W3CDTF">2026-07-17T14:01:00Z</dcterms:created>
  <dcterms:modified xsi:type="dcterms:W3CDTF">2026-07-21T11:58:00Z</dcterms:modified>
</cp:coreProperties>
</file>